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7" w:rsidRPr="00255904" w:rsidRDefault="00551707" w:rsidP="00551707">
      <w:pPr>
        <w:ind w:left="-270"/>
        <w:rPr>
          <w:rFonts w:ascii="Nexa Bold" w:hAnsi="Nexa Bold"/>
          <w:b/>
          <w:bCs/>
          <w:sz w:val="90"/>
          <w:szCs w:val="90"/>
        </w:rPr>
      </w:pPr>
      <w:r>
        <w:rPr>
          <w:rFonts w:ascii="Calluna" w:hAnsi="Callun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-7229475</wp:posOffset>
            </wp:positionH>
            <wp:positionV relativeFrom="paragraph">
              <wp:posOffset>594360</wp:posOffset>
            </wp:positionV>
            <wp:extent cx="9670507" cy="96221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 with gradients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507" cy="962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luna" w:hAnsi="Callu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A1FF92E" wp14:editId="27A72F0E">
            <wp:simplePos x="0" y="0"/>
            <wp:positionH relativeFrom="column">
              <wp:posOffset>7501890</wp:posOffset>
            </wp:positionH>
            <wp:positionV relativeFrom="paragraph">
              <wp:posOffset>-277622</wp:posOffset>
            </wp:positionV>
            <wp:extent cx="1210992" cy="757646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92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old" w:hAnsi="Nexa Bold"/>
          <w:b/>
          <w:bCs/>
          <w:noProof/>
          <w:sz w:val="90"/>
          <w:szCs w:val="90"/>
        </w:rPr>
        <w:drawing>
          <wp:anchor distT="0" distB="0" distL="114300" distR="114300" simplePos="0" relativeHeight="251662336" behindDoc="1" locked="0" layoutInCell="1" allowOverlap="1" wp14:anchorId="53C501A7" wp14:editId="47DD4E24">
            <wp:simplePos x="0" y="0"/>
            <wp:positionH relativeFrom="column">
              <wp:posOffset>5955030</wp:posOffset>
            </wp:positionH>
            <wp:positionV relativeFrom="paragraph">
              <wp:posOffset>-2477087</wp:posOffset>
            </wp:positionV>
            <wp:extent cx="4994031" cy="49940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031" cy="499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904">
        <w:rPr>
          <w:rFonts w:ascii="Nexa Bold" w:hAnsi="Nexa Bold"/>
          <w:b/>
          <w:bCs/>
          <w:sz w:val="90"/>
          <w:szCs w:val="90"/>
        </w:rPr>
        <w:t>2022 | Know the Acts</w:t>
      </w:r>
    </w:p>
    <w:p w:rsidR="00551707" w:rsidRPr="00255904" w:rsidRDefault="00551707" w:rsidP="00551707">
      <w:pPr>
        <w:ind w:left="-270"/>
        <w:rPr>
          <w:rFonts w:ascii="Calluna" w:hAnsi="Calluna"/>
          <w:sz w:val="40"/>
          <w:szCs w:val="40"/>
        </w:rPr>
      </w:pPr>
      <w:r w:rsidRPr="00255904">
        <w:rPr>
          <w:rFonts w:ascii="Calluna" w:hAnsi="Calluna"/>
          <w:sz w:val="40"/>
          <w:szCs w:val="40"/>
        </w:rPr>
        <w:t xml:space="preserve">The year is almost up. </w:t>
      </w:r>
      <w:proofErr w:type="gramStart"/>
      <w:r w:rsidRPr="00255904">
        <w:rPr>
          <w:rFonts w:ascii="Calluna" w:hAnsi="Calluna"/>
          <w:sz w:val="40"/>
          <w:szCs w:val="40"/>
        </w:rPr>
        <w:t>Here’s</w:t>
      </w:r>
      <w:proofErr w:type="gramEnd"/>
      <w:r w:rsidRPr="00255904">
        <w:rPr>
          <w:rFonts w:ascii="Calluna" w:hAnsi="Calluna"/>
          <w:sz w:val="40"/>
          <w:szCs w:val="40"/>
        </w:rPr>
        <w:t xml:space="preserve"> what’s on our mind. </w:t>
      </w:r>
    </w:p>
    <w:p w:rsidR="00551707" w:rsidRPr="00255904" w:rsidRDefault="00551707" w:rsidP="00551707">
      <w:pPr>
        <w:ind w:left="-270"/>
        <w:rPr>
          <w:rFonts w:ascii="Calluna" w:hAnsi="Calluna"/>
          <w:sz w:val="40"/>
          <w:szCs w:val="40"/>
        </w:rPr>
      </w:pPr>
      <w:r w:rsidRPr="00255904">
        <w:rPr>
          <w:rFonts w:ascii="Calluna" w:hAnsi="Calluna"/>
          <w:sz w:val="40"/>
          <w:szCs w:val="40"/>
        </w:rPr>
        <w:t xml:space="preserve">Straight from LU’s data policy team in Brussels. </w:t>
      </w:r>
    </w:p>
    <w:p w:rsidR="00551707" w:rsidRDefault="00551707" w:rsidP="00551707">
      <w:pPr>
        <w:ind w:left="-270"/>
        <w:rPr>
          <w:rFonts w:ascii="Calluna" w:hAnsi="Calluna"/>
          <w:sz w:val="36"/>
          <w:szCs w:val="36"/>
        </w:rPr>
      </w:pPr>
    </w:p>
    <w:p w:rsidR="00551707" w:rsidRDefault="00551707" w:rsidP="00551707">
      <w:pPr>
        <w:rPr>
          <w:rFonts w:ascii="Calluna" w:hAnsi="Calluna"/>
          <w:sz w:val="28"/>
          <w:szCs w:val="28"/>
        </w:rPr>
      </w:pPr>
    </w:p>
    <w:p w:rsidR="00551707" w:rsidRDefault="00551707" w:rsidP="00551707">
      <w:pPr>
        <w:rPr>
          <w:rFonts w:ascii="Calluna" w:hAnsi="Calluna"/>
          <w:sz w:val="28"/>
          <w:szCs w:val="28"/>
        </w:rPr>
      </w:pPr>
      <w:r>
        <w:rPr>
          <w:rFonts w:ascii="Calluna" w:hAnsi="Callu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8C27" wp14:editId="306D97C0">
                <wp:simplePos x="0" y="0"/>
                <wp:positionH relativeFrom="column">
                  <wp:posOffset>2682240</wp:posOffset>
                </wp:positionH>
                <wp:positionV relativeFrom="paragraph">
                  <wp:posOffset>159385</wp:posOffset>
                </wp:positionV>
                <wp:extent cx="2682240" cy="49574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495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707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9730C"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2) Data </w:t>
                            </w:r>
                          </w:p>
                          <w:p w:rsidR="00551707" w:rsidRPr="006D58C4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51707" w:rsidRPr="006D58C4" w:rsidRDefault="00551707" w:rsidP="00551707">
                            <w:pPr>
                              <w:spacing w:line="276" w:lineRule="auto"/>
                              <w:jc w:val="both"/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proposed 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Data Act (Feb. 2022) 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presents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rules around the access &amp; application of data generated in the EU. It encompasses all economic sectors &amp; seeks to support a fair digital environment, a competitive data market, increased data accessibility &amp; data-driven innovation.</w:t>
                            </w: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The private sector &amp; some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Member States are still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establishing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their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positions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.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Since the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publication of the proposal by the Commission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, meetings </w:t>
                            </w:r>
                            <w:proofErr w:type="gramStart"/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have been held</w:t>
                            </w:r>
                            <w:proofErr w:type="gramEnd"/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large corporate stakeholders, such as Samsung &amp; </w:t>
                            </w:r>
                            <w:proofErr w:type="spellStart"/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Mastercard</w:t>
                            </w:r>
                            <w:proofErr w:type="spellEnd"/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. Many of their concerns overlap, particular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ly with regard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to the disclosure of trade secrets, a lack of clarity on definitions &amp; the sharing of data with public authorities. Some proposed to delete references to trade secrets altogether. </w:t>
                            </w: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The Act seeks to facilitate data sharing between businesses, but representatives of digital companies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deem certain definitions too vague.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While they support the sharing of data during public emergenc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ies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some think that this provision also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leaves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broad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leeway for governments to request data “in the event of exceptional need.”</w:t>
                            </w:r>
                          </w:p>
                          <w:p w:rsidR="00551707" w:rsidRDefault="00551707" w:rsidP="00551707"/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08C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2pt;margin-top:12.55pt;width:211.2pt;height:3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" fillcolor="white [3201]" stroked="f" strokeweight=".5pt">
                <v:textbox inset=",14.4pt">
                  <w:txbxContent>
                    <w:p w:rsidR="00551707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</w:pPr>
                      <w:r w:rsidRPr="0079730C"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  <w:t xml:space="preserve">2) Data </w:t>
                      </w:r>
                    </w:p>
                    <w:p w:rsidR="00551707" w:rsidRPr="006D58C4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51707" w:rsidRPr="006D58C4" w:rsidRDefault="00551707" w:rsidP="00551707">
                      <w:pPr>
                        <w:spacing w:line="276" w:lineRule="auto"/>
                        <w:jc w:val="both"/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</w:pP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proposed 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Data Act (Feb. 2022) 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presents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rules around the access &amp; application of data generated in the EU. It encompasses all economic sectors &amp; seeks to support a fair digital environment, a competitive data market, increased data accessibility &amp; data-driven innovation.</w:t>
                      </w: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The private sector &amp; some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Member States are still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establishing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their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positions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.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Since the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publication of the proposal by the Commission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, meetings </w:t>
                      </w:r>
                      <w:proofErr w:type="gramStart"/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have been held</w:t>
                      </w:r>
                      <w:proofErr w:type="gramEnd"/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large corporate stakeholders, such as Samsung &amp; </w:t>
                      </w:r>
                      <w:proofErr w:type="spellStart"/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Mastercard</w:t>
                      </w:r>
                      <w:proofErr w:type="spellEnd"/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. Many of their concerns overlap, particular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ly with regard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to the disclosure of trade secrets, a lack of clarity on definitions &amp; the sharing of data with public authorities. Some proposed to delete references to trade secrets altogether. </w:t>
                      </w: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The Act seeks to facilitate data sharing between businesses, but representatives of digital companies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deem certain definitions too vague.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While they support the sharing of data during public emergenc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ies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some think that this provision also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leaves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broad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leeway for governments to request data “in the event of exceptional need.”</w:t>
                      </w:r>
                    </w:p>
                    <w:p w:rsidR="00551707" w:rsidRDefault="00551707" w:rsidP="00551707"/>
                  </w:txbxContent>
                </v:textbox>
              </v:shape>
            </w:pict>
          </mc:Fallback>
        </mc:AlternateContent>
      </w:r>
      <w:r>
        <w:rPr>
          <w:rFonts w:ascii="Calluna" w:hAnsi="Callu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6395" wp14:editId="3AF04C3B">
                <wp:simplePos x="0" y="0"/>
                <wp:positionH relativeFrom="column">
                  <wp:posOffset>-278765</wp:posOffset>
                </wp:positionH>
                <wp:positionV relativeFrom="paragraph">
                  <wp:posOffset>155575</wp:posOffset>
                </wp:positionV>
                <wp:extent cx="2783840" cy="4688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688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707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9730C"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  <w:t>1) Artificial Intelligence</w:t>
                            </w:r>
                          </w:p>
                          <w:p w:rsidR="00551707" w:rsidRPr="006D58C4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51707" w:rsidRPr="006D58C4" w:rsidRDefault="00551707" w:rsidP="00551707">
                            <w:pPr>
                              <w:spacing w:line="276" w:lineRule="auto"/>
                              <w:jc w:val="both"/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April </w:t>
                            </w:r>
                            <w:proofErr w:type="gramStart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proofErr w:type="gramEnd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European Commission proposed a regulatory framework for AI in the EU. It intended to facilitate an AI single market that prioritizes safety, compliance, legal certainty &amp; fundamental rights. In the final months of 2022, lobbying has </w:t>
                            </w:r>
                            <w:proofErr w:type="spellStart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inten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sified</w:t>
                            </w:r>
                            <w:proofErr w:type="spellEnd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around certain topics in the Act.</w:t>
                            </w: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Specifically, p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rivate sector representatives &amp; the Luxembourg Chamber of Commerce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raised concerns about the framework around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“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general purpose AI systems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” (AI with a wide range of uses &amp; general functions). They note that it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poses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significant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implementation challenges for the private sector. </w:t>
                            </w: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The Software Alliance (representing software developers) &amp; DeepMind (Google-affiliated AI institute)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further questioned the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practicality of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obligations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outlined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the Act. </w:t>
                            </w: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Exploration continues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: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Luxembourg’s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Slovakian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counterparts launched a new initiative for a joint paper. Discussions on the mandate for a </w:t>
                            </w:r>
                            <w:r w:rsidRPr="00D14577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Council of Europe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c</w:t>
                            </w:r>
                            <w:r w:rsidRPr="00D14577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onvention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on</w:t>
                            </w:r>
                            <w:r w:rsidRPr="00D14577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a</w:t>
                            </w:r>
                            <w:r w:rsidRPr="00D14577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rtificial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i</w:t>
                            </w:r>
                            <w:r w:rsidRPr="00D14577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ntelligence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are progressing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1707" w:rsidRDefault="00551707" w:rsidP="00551707"/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6395" id="Text Box 3" o:spid="_x0000_s1027" type="#_x0000_t202" style="position:absolute;margin-left:-21.95pt;margin-top:12.25pt;width:219.2pt;height:3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" fillcolor="white [3201]" stroked="f" strokeweight=".5pt">
                <v:fill opacity="52428f"/>
                <v:textbox inset=",14.4pt">
                  <w:txbxContent>
                    <w:p w:rsidR="00551707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</w:pPr>
                      <w:r w:rsidRPr="0079730C"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  <w:t>1) Artificial Intelligence</w:t>
                      </w:r>
                    </w:p>
                    <w:p w:rsidR="00551707" w:rsidRPr="006D58C4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51707" w:rsidRPr="006D58C4" w:rsidRDefault="00551707" w:rsidP="00551707">
                      <w:pPr>
                        <w:spacing w:line="276" w:lineRule="auto"/>
                        <w:jc w:val="both"/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</w:pP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In April </w:t>
                      </w:r>
                      <w:proofErr w:type="gramStart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2021</w:t>
                      </w:r>
                      <w:proofErr w:type="gramEnd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the European Commission proposed a regulatory framework for AI in the EU. It intended to facilitate an AI single market that prioritizes safety, compliance, legal certainty &amp; fundamental rights. In the final months of 2022, lobbying has </w:t>
                      </w:r>
                      <w:proofErr w:type="spellStart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inten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sified</w:t>
                      </w:r>
                      <w:proofErr w:type="spellEnd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around certain topics in the Act.</w:t>
                      </w: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Specifically, p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rivate sector representatives &amp; the Luxembourg Chamber of Commerce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have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raised concerns about the framework around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“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general purpose AI systems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” (AI with a wide range of uses &amp; general functions). They note that it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poses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significant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implementation challenges for the private sector. </w:t>
                      </w: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The Software Alliance (representing software developers) &amp; DeepMind (Google-affiliated AI institute)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further questioned the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practicality of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the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obligations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outlined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the Act. </w:t>
                      </w: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Exploration continues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: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Luxembourg’s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Slovakian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counterparts launched a new initiative for a joint paper. Discussions on the mandate for a </w:t>
                      </w:r>
                      <w:r w:rsidRPr="00D14577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Council of Europe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c</w:t>
                      </w:r>
                      <w:r w:rsidRPr="00D14577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onvention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on</w:t>
                      </w:r>
                      <w:r w:rsidRPr="00D14577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a</w:t>
                      </w:r>
                      <w:r w:rsidRPr="00D14577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rtificial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i</w:t>
                      </w:r>
                      <w:r w:rsidRPr="00D14577">
                        <w:rPr>
                          <w:rFonts w:ascii="Calluna" w:hAnsi="Calluna"/>
                          <w:sz w:val="20"/>
                          <w:szCs w:val="20"/>
                        </w:rPr>
                        <w:t>ntelligence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are progressing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.</w:t>
                      </w:r>
                    </w:p>
                    <w:p w:rsidR="00551707" w:rsidRDefault="00551707" w:rsidP="00551707"/>
                  </w:txbxContent>
                </v:textbox>
              </v:shape>
            </w:pict>
          </mc:Fallback>
        </mc:AlternateContent>
      </w:r>
      <w:r>
        <w:rPr>
          <w:rFonts w:ascii="Calluna" w:hAnsi="Callu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4C13" wp14:editId="0CD84A2D">
                <wp:simplePos x="0" y="0"/>
                <wp:positionH relativeFrom="column">
                  <wp:posOffset>5532755</wp:posOffset>
                </wp:positionH>
                <wp:positionV relativeFrom="paragraph">
                  <wp:posOffset>156845</wp:posOffset>
                </wp:positionV>
                <wp:extent cx="2660650" cy="468884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4688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707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79730C"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  <w:t>3) Media Freedom</w:t>
                            </w:r>
                          </w:p>
                          <w:p w:rsidR="00551707" w:rsidRPr="006D58C4" w:rsidRDefault="00551707" w:rsidP="00551707">
                            <w:pPr>
                              <w:rPr>
                                <w:rFonts w:ascii="Nexa Bold" w:hAnsi="Nexa 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79730C">
                              <w:rPr>
                                <w:rFonts w:ascii="Nexa Bold" w:hAnsi="Nexa Bold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51707" w:rsidRDefault="00551707" w:rsidP="00551707">
                            <w:pPr>
                              <w:spacing w:line="276" w:lineRule="auto"/>
                              <w:jc w:val="both"/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September 2022, the European </w:t>
                            </w:r>
                          </w:p>
                          <w:p w:rsidR="00551707" w:rsidRPr="006D58C4" w:rsidRDefault="00551707" w:rsidP="00551707">
                            <w:pPr>
                              <w:spacing w:line="276" w:lineRule="auto"/>
                              <w:jc w:val="both"/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Commission 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released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European Media Freedom Act (EMFA)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Proposal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support an independent, diverse media landscape. The Act includes protections against political interference 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rules around conflicts of interest. It also touches upon issues of funding, ownership trans</w:t>
                            </w:r>
                            <w:r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>parency</w:t>
                            </w:r>
                            <w:proofErr w:type="spellEnd"/>
                            <w:r w:rsidRPr="006D58C4">
                              <w:rPr>
                                <w:rFonts w:ascii="Nexa Bold" w:hAnsi="Nexa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state advertising. </w:t>
                            </w: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Additionally, the Act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proposes to set up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a European Board for Media Services. Based on a subsequent impact study, the Commission decided to introduce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further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interventions to preserve legal certain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ty &amp;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the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cross-border nature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of European media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especially given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the digitalization of services. </w:t>
                            </w:r>
                          </w:p>
                          <w:p w:rsidR="00551707" w:rsidRPr="00255904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jc w:val="both"/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Of course, not everyone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supports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current version of the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Act. The European Magazine Media Association &amp; the European Newspaper Publishers’ Association worry that it undermines freedom of the press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. They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see no reason to put print &amp; digital press under 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>supervision of a board when the EU treaties leave press &amp; media policy up to the Member States</w:t>
                            </w:r>
                            <w: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55904"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>
                            <w:pPr>
                              <w:rPr>
                                <w:rFonts w:ascii="Calluna" w:hAnsi="Calluna"/>
                                <w:sz w:val="20"/>
                                <w:szCs w:val="20"/>
                              </w:rPr>
                            </w:pPr>
                          </w:p>
                          <w:p w:rsidR="00551707" w:rsidRDefault="00551707" w:rsidP="00551707"/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4C13" id="Text Box 4" o:spid="_x0000_s1028" type="#_x0000_t202" style="position:absolute;margin-left:435.65pt;margin-top:12.35pt;width:209.5pt;height:3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" fillcolor="white [3201]" stroked="f" strokeweight=".5pt">
                <v:fill opacity="52428f"/>
                <v:textbox inset=",14.4pt">
                  <w:txbxContent>
                    <w:p w:rsidR="00551707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</w:pPr>
                      <w:r w:rsidRPr="0079730C"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  <w:t>3) Media Freedom</w:t>
                      </w:r>
                    </w:p>
                    <w:p w:rsidR="00551707" w:rsidRPr="006D58C4" w:rsidRDefault="00551707" w:rsidP="00551707">
                      <w:pPr>
                        <w:rPr>
                          <w:rFonts w:ascii="Nexa Bold" w:hAnsi="Nexa Bold"/>
                          <w:b/>
                          <w:bCs/>
                          <w:sz w:val="10"/>
                          <w:szCs w:val="10"/>
                        </w:rPr>
                      </w:pPr>
                      <w:r w:rsidRPr="0079730C">
                        <w:rPr>
                          <w:rFonts w:ascii="Nexa Bold" w:hAnsi="Nexa Bold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</w:p>
                    <w:p w:rsidR="00551707" w:rsidRDefault="00551707" w:rsidP="00551707">
                      <w:pPr>
                        <w:spacing w:line="276" w:lineRule="auto"/>
                        <w:jc w:val="both"/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</w:pP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In September 2022, the European </w:t>
                      </w:r>
                    </w:p>
                    <w:p w:rsidR="00551707" w:rsidRPr="006D58C4" w:rsidRDefault="00551707" w:rsidP="00551707">
                      <w:pPr>
                        <w:spacing w:line="276" w:lineRule="auto"/>
                        <w:jc w:val="both"/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</w:pP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Commission 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released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the European Media Freedom Act (EMFA)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Proposal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to support an independent, diverse media landscape. The Act includes protections against political interference 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&amp;</w:t>
                      </w:r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rules around conflicts of interest. It also touches upon issues of funding, ownership trans</w:t>
                      </w:r>
                      <w:r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>parency</w:t>
                      </w:r>
                      <w:proofErr w:type="spellEnd"/>
                      <w:r w:rsidRPr="006D58C4">
                        <w:rPr>
                          <w:rFonts w:ascii="Nexa Bold" w:hAnsi="Nexa Bold"/>
                          <w:b/>
                          <w:bCs/>
                          <w:sz w:val="20"/>
                          <w:szCs w:val="20"/>
                        </w:rPr>
                        <w:t xml:space="preserve"> &amp; state advertising. </w:t>
                      </w: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Additionally, the Act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proposes to set up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a European Board for Media Services. Based on a subsequent impact study, the Commission decided to introduce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further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interventions to preserve legal certain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ty &amp;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the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cross-border nature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of European media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especially given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the digitalization of services. </w:t>
                      </w:r>
                    </w:p>
                    <w:p w:rsidR="00551707" w:rsidRPr="00255904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jc w:val="both"/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Of course, not everyone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>supports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current version of the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Act. The European Magazine Media Association &amp; the European Newspaper Publishers’ Association worry that it undermines freedom of the press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. They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see no reason to put print &amp; digital press under 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the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>supervision of a board when the EU treaties leave press &amp; media policy up to the Member States</w:t>
                      </w:r>
                      <w:r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. </w:t>
                      </w:r>
                      <w:r w:rsidRPr="00255904">
                        <w:rPr>
                          <w:rFonts w:ascii="Calluna" w:hAnsi="Callu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>
                      <w:pPr>
                        <w:rPr>
                          <w:rFonts w:ascii="Calluna" w:hAnsi="Calluna"/>
                          <w:sz w:val="20"/>
                          <w:szCs w:val="20"/>
                        </w:rPr>
                      </w:pPr>
                    </w:p>
                    <w:p w:rsidR="00551707" w:rsidRDefault="00551707" w:rsidP="00551707"/>
                  </w:txbxContent>
                </v:textbox>
              </v:shape>
            </w:pict>
          </mc:Fallback>
        </mc:AlternateContent>
      </w:r>
    </w:p>
    <w:p w:rsidR="00551707" w:rsidRDefault="00551707" w:rsidP="00551707">
      <w:pPr>
        <w:rPr>
          <w:rFonts w:ascii="Nexa Bold" w:hAnsi="Nexa Bold"/>
          <w:b/>
          <w:bCs/>
          <w:sz w:val="44"/>
          <w:szCs w:val="44"/>
        </w:rPr>
      </w:pPr>
    </w:p>
    <w:p w:rsidR="00551707" w:rsidRDefault="00551707" w:rsidP="00551707">
      <w:pPr>
        <w:ind w:left="-270"/>
        <w:rPr>
          <w:rFonts w:ascii="Nexa Bold" w:hAnsi="Nexa Bold"/>
          <w:b/>
          <w:bCs/>
          <w:sz w:val="44"/>
          <w:szCs w:val="44"/>
        </w:rPr>
      </w:pPr>
    </w:p>
    <w:p w:rsidR="00551707" w:rsidRDefault="00551707" w:rsidP="00551707">
      <w:pPr>
        <w:rPr>
          <w:rFonts w:ascii="Calluna" w:hAnsi="Calluna"/>
          <w:sz w:val="20"/>
          <w:szCs w:val="20"/>
        </w:rPr>
      </w:pPr>
    </w:p>
    <w:p w:rsidR="00551707" w:rsidRDefault="00551707" w:rsidP="00551707">
      <w:pPr>
        <w:rPr>
          <w:rFonts w:ascii="Calluna" w:hAnsi="Calluna"/>
          <w:sz w:val="20"/>
          <w:szCs w:val="20"/>
        </w:rPr>
      </w:pPr>
    </w:p>
    <w:p w:rsidR="00551707" w:rsidRDefault="00551707" w:rsidP="00551707">
      <w:pPr>
        <w:rPr>
          <w:rFonts w:ascii="Calluna" w:hAnsi="Calluna"/>
          <w:sz w:val="20"/>
          <w:szCs w:val="20"/>
        </w:rPr>
      </w:pPr>
    </w:p>
    <w:p w:rsidR="00551707" w:rsidRDefault="00551707" w:rsidP="00551707">
      <w:pPr>
        <w:rPr>
          <w:rFonts w:ascii="Calluna" w:hAnsi="Calluna"/>
          <w:sz w:val="20"/>
          <w:szCs w:val="20"/>
        </w:rPr>
      </w:pPr>
    </w:p>
    <w:p w:rsidR="00551707" w:rsidRDefault="00551707" w:rsidP="00551707">
      <w:pPr>
        <w:rPr>
          <w:rFonts w:ascii="Calluna" w:hAnsi="Calluna"/>
          <w:sz w:val="20"/>
          <w:szCs w:val="20"/>
        </w:rPr>
      </w:pPr>
    </w:p>
    <w:p w:rsidR="00551707" w:rsidRPr="00255904" w:rsidRDefault="00551707" w:rsidP="00551707">
      <w:pPr>
        <w:rPr>
          <w:rFonts w:ascii="Calluna" w:hAnsi="Calluna"/>
          <w:sz w:val="20"/>
          <w:szCs w:val="20"/>
        </w:rPr>
      </w:pPr>
      <w:r>
        <w:rPr>
          <w:rFonts w:ascii="Nexa Bold" w:hAnsi="Nexa Bold"/>
          <w:b/>
          <w:bCs/>
          <w:noProof/>
          <w:sz w:val="90"/>
          <w:szCs w:val="90"/>
        </w:rPr>
        <w:drawing>
          <wp:anchor distT="0" distB="0" distL="114300" distR="114300" simplePos="0" relativeHeight="251664384" behindDoc="1" locked="0" layoutInCell="1" allowOverlap="1" wp14:anchorId="60A24895" wp14:editId="4CC76AB9">
            <wp:simplePos x="0" y="0"/>
            <wp:positionH relativeFrom="column">
              <wp:posOffset>7879080</wp:posOffset>
            </wp:positionH>
            <wp:positionV relativeFrom="paragraph">
              <wp:posOffset>1963420</wp:posOffset>
            </wp:positionV>
            <wp:extent cx="1700530" cy="1700530"/>
            <wp:effectExtent l="0" t="0" r="127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71" cy="170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F1" w:rsidRDefault="00A03EF1">
      <w:bookmarkStart w:id="0" w:name="_GoBack"/>
      <w:bookmarkEnd w:id="0"/>
    </w:p>
    <w:sectPr w:rsidR="00A03EF1" w:rsidSect="00553BE4">
      <w:pgSz w:w="15840" w:h="12240" w:orient="landscape"/>
      <w:pgMar w:top="11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7"/>
    <w:rsid w:val="00551707"/>
    <w:rsid w:val="00A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41FD-C4F6-4E15-A730-08393B9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CTIE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Mazzola</dc:creator>
  <cp:keywords/>
  <dc:description/>
  <cp:lastModifiedBy>Linda Mazzola</cp:lastModifiedBy>
  <cp:revision>1</cp:revision>
  <dcterms:created xsi:type="dcterms:W3CDTF">2022-12-22T06:58:00Z</dcterms:created>
  <dcterms:modified xsi:type="dcterms:W3CDTF">2022-12-22T07:00:00Z</dcterms:modified>
</cp:coreProperties>
</file>